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84" w:rsidRDefault="00ED2A84" w:rsidP="00ED2A84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88737B">
        <w:rPr>
          <w:b/>
          <w:sz w:val="28"/>
          <w:szCs w:val="28"/>
        </w:rPr>
        <w:t>ASC Travel Policy Guidelines –</w:t>
      </w:r>
      <w:r w:rsidR="007A086C">
        <w:rPr>
          <w:b/>
          <w:sz w:val="28"/>
          <w:szCs w:val="28"/>
        </w:rPr>
        <w:t xml:space="preserve"> </w:t>
      </w:r>
      <w:r w:rsidRPr="0088737B">
        <w:rPr>
          <w:b/>
          <w:sz w:val="28"/>
          <w:szCs w:val="28"/>
        </w:rPr>
        <w:t>Post-Travel Procedures</w:t>
      </w:r>
      <w:r w:rsidR="005F50B8">
        <w:rPr>
          <w:b/>
          <w:sz w:val="28"/>
          <w:szCs w:val="28"/>
        </w:rPr>
        <w:t xml:space="preserve">                                    </w:t>
      </w:r>
      <w:r w:rsidR="005F50B8" w:rsidRPr="005F50B8">
        <w:t>Revised</w:t>
      </w:r>
      <w:r w:rsidR="005F50B8">
        <w:rPr>
          <w:b/>
          <w:sz w:val="28"/>
          <w:szCs w:val="28"/>
        </w:rPr>
        <w:t xml:space="preserve"> </w:t>
      </w:r>
      <w:r w:rsidR="005F50B8" w:rsidRPr="005F50B8">
        <w:t>6/4/14</w:t>
      </w:r>
    </w:p>
    <w:p w:rsidR="00C817FB" w:rsidRPr="0088737B" w:rsidRDefault="00C817FB" w:rsidP="00ED2A84">
      <w:pPr>
        <w:spacing w:after="0"/>
        <w:rPr>
          <w:b/>
          <w:sz w:val="28"/>
          <w:szCs w:val="28"/>
        </w:rPr>
      </w:pPr>
    </w:p>
    <w:p w:rsidR="00C817FB" w:rsidRPr="009A31FB" w:rsidRDefault="00C817FB" w:rsidP="00C817FB">
      <w:pPr>
        <w:spacing w:after="0"/>
      </w:pPr>
      <w:r w:rsidRPr="009A31FB">
        <w:t>The objective of the Travel Policy is to ensure efficiency and fiscal accountability for university business travel.</w:t>
      </w:r>
    </w:p>
    <w:p w:rsidR="00C817FB" w:rsidRDefault="00C817FB" w:rsidP="00C817FB">
      <w:pPr>
        <w:spacing w:after="0"/>
      </w:pPr>
      <w:r w:rsidRPr="009A31FB">
        <w:t>The University will pay for reasonable and necessary expenses incurred for authorized business travel.</w:t>
      </w:r>
    </w:p>
    <w:p w:rsidR="00ED2A84" w:rsidRDefault="00ED2A84" w:rsidP="00ED2A84">
      <w:pPr>
        <w:spacing w:after="0"/>
        <w:rPr>
          <w:b/>
          <w:sz w:val="24"/>
          <w:szCs w:val="24"/>
        </w:rPr>
      </w:pPr>
    </w:p>
    <w:p w:rsidR="00C817FB" w:rsidRDefault="00C817FB" w:rsidP="00ED2A84">
      <w:pPr>
        <w:spacing w:after="0"/>
        <w:rPr>
          <w:b/>
        </w:rPr>
      </w:pPr>
      <w:r>
        <w:rPr>
          <w:b/>
          <w:sz w:val="24"/>
          <w:szCs w:val="24"/>
        </w:rPr>
        <w:t>Reimbursements</w:t>
      </w:r>
    </w:p>
    <w:p w:rsidR="002A2405" w:rsidRPr="002A2405" w:rsidRDefault="002A2405" w:rsidP="00ED2A84">
      <w:pPr>
        <w:spacing w:after="0"/>
        <w:rPr>
          <w:b/>
        </w:rPr>
      </w:pPr>
    </w:p>
    <w:p w:rsidR="002544DA" w:rsidRDefault="002544DA" w:rsidP="002544DA">
      <w:pPr>
        <w:spacing w:after="0"/>
      </w:pPr>
      <w:r>
        <w:t xml:space="preserve">Reimbursement of travel expenses must be supported by </w:t>
      </w:r>
      <w:r w:rsidR="002A2405">
        <w:t>original, itemized receipts where required.</w:t>
      </w:r>
      <w:r w:rsidR="00490A6A">
        <w:t xml:space="preserve"> </w:t>
      </w:r>
    </w:p>
    <w:p w:rsidR="00490A6A" w:rsidRPr="00490A6A" w:rsidRDefault="00490A6A" w:rsidP="00490A6A">
      <w:pPr>
        <w:pStyle w:val="ListParagraph"/>
        <w:numPr>
          <w:ilvl w:val="0"/>
          <w:numId w:val="3"/>
        </w:numPr>
        <w:spacing w:after="0"/>
        <w:rPr>
          <w:i/>
        </w:rPr>
      </w:pPr>
      <w:r w:rsidRPr="00490A6A">
        <w:rPr>
          <w:i/>
        </w:rPr>
        <w:t xml:space="preserve">Review the Travel Policy for examples of </w:t>
      </w:r>
      <w:r w:rsidR="000038DB">
        <w:rPr>
          <w:i/>
        </w:rPr>
        <w:t xml:space="preserve">the required acceptable </w:t>
      </w:r>
      <w:r w:rsidRPr="00490A6A">
        <w:rPr>
          <w:i/>
        </w:rPr>
        <w:t xml:space="preserve">documentation for reimbursement (link below).  </w:t>
      </w:r>
    </w:p>
    <w:p w:rsidR="002544DA" w:rsidRDefault="002544DA" w:rsidP="002544DA">
      <w:pPr>
        <w:spacing w:after="0"/>
        <w:rPr>
          <w:b/>
          <w:sz w:val="24"/>
          <w:szCs w:val="24"/>
        </w:rPr>
      </w:pPr>
    </w:p>
    <w:p w:rsidR="000038DB" w:rsidRDefault="00877633" w:rsidP="002544DA">
      <w:pPr>
        <w:spacing w:after="0"/>
      </w:pPr>
      <w:r>
        <w:t>P</w:t>
      </w:r>
      <w:r w:rsidR="000038DB">
        <w:t xml:space="preserve">ersonal funds </w:t>
      </w:r>
      <w:r>
        <w:t xml:space="preserve">expensed for business travel </w:t>
      </w:r>
      <w:r w:rsidR="000038DB">
        <w:t>will not be reimbursed until after the trip occurs and the travel reimbursement has been entered into the eTravel system and approved by the delegated approval authority.</w:t>
      </w:r>
    </w:p>
    <w:p w:rsidR="000038DB" w:rsidRPr="000038DB" w:rsidRDefault="000038DB" w:rsidP="002544DA">
      <w:pPr>
        <w:spacing w:after="0"/>
      </w:pPr>
    </w:p>
    <w:p w:rsidR="00ED2A84" w:rsidRDefault="00ED2A84" w:rsidP="002544DA">
      <w:pPr>
        <w:spacing w:after="0"/>
      </w:pPr>
      <w:r>
        <w:t xml:space="preserve">The traveler must submit a request for reimbursement with supporting documentation within </w:t>
      </w:r>
      <w:r w:rsidRPr="002544DA">
        <w:rPr>
          <w:u w:val="single"/>
        </w:rPr>
        <w:t>90 days</w:t>
      </w:r>
      <w:r>
        <w:t xml:space="preserve"> of the return date.  Travel A</w:t>
      </w:r>
      <w:r w:rsidR="002544DA">
        <w:t>rrangers should work with travelers</w:t>
      </w:r>
      <w:r>
        <w:t xml:space="preserve"> to ensure they</w:t>
      </w:r>
      <w:r w:rsidR="002A2405">
        <w:t xml:space="preserve"> comply with this policy.</w:t>
      </w:r>
    </w:p>
    <w:p w:rsidR="002A2405" w:rsidRDefault="002A2405" w:rsidP="002544DA">
      <w:pPr>
        <w:spacing w:after="0"/>
      </w:pPr>
    </w:p>
    <w:p w:rsidR="002A2405" w:rsidRDefault="002A2405" w:rsidP="002A2405">
      <w:pPr>
        <w:spacing w:after="0"/>
      </w:pPr>
      <w:r>
        <w:t>Reimbursements that exceed the travel estimate by 20% or more must be approved by the departmental designated approval authority.</w:t>
      </w:r>
    </w:p>
    <w:p w:rsidR="002544DA" w:rsidRDefault="002544DA" w:rsidP="002544DA">
      <w:pPr>
        <w:spacing w:after="0"/>
      </w:pPr>
    </w:p>
    <w:p w:rsidR="002A2405" w:rsidRDefault="002C2F64" w:rsidP="002544DA">
      <w:pPr>
        <w:spacing w:after="0"/>
        <w:rPr>
          <w:b/>
        </w:rPr>
      </w:pPr>
      <w:r>
        <w:rPr>
          <w:b/>
          <w:sz w:val="24"/>
          <w:szCs w:val="24"/>
        </w:rPr>
        <w:t>Cash Advancement Reconciliation</w:t>
      </w:r>
    </w:p>
    <w:p w:rsidR="002A2405" w:rsidRPr="002A2405" w:rsidRDefault="002A2405" w:rsidP="002544DA">
      <w:pPr>
        <w:spacing w:after="0"/>
        <w:rPr>
          <w:b/>
        </w:rPr>
      </w:pPr>
    </w:p>
    <w:p w:rsidR="007A086C" w:rsidRDefault="007A086C" w:rsidP="002544DA">
      <w:pPr>
        <w:spacing w:after="0"/>
      </w:pPr>
      <w:r>
        <w:t xml:space="preserve">Cash advance </w:t>
      </w:r>
      <w:r w:rsidR="00C817FB">
        <w:t>expenses must be documented with original, itemized receipts (or equivalent documentation) and</w:t>
      </w:r>
      <w:r>
        <w:t xml:space="preserve"> must be reconciled within </w:t>
      </w:r>
      <w:r w:rsidRPr="00C817FB">
        <w:rPr>
          <w:u w:val="single"/>
        </w:rPr>
        <w:t>one month</w:t>
      </w:r>
      <w:r>
        <w:t xml:space="preserve"> of the return da</w:t>
      </w:r>
      <w:r w:rsidR="002A2405">
        <w:t>te.</w:t>
      </w:r>
    </w:p>
    <w:p w:rsidR="00C817FB" w:rsidRDefault="00C817FB" w:rsidP="00C817FB">
      <w:pPr>
        <w:pStyle w:val="ListParagraph"/>
        <w:numPr>
          <w:ilvl w:val="0"/>
          <w:numId w:val="3"/>
        </w:numPr>
        <w:spacing w:after="0"/>
      </w:pPr>
      <w:r>
        <w:t>Any cash in excess of approved reimbursable expenses must be returned to the appropriate departmental account or sponsored project within the same one month period.</w:t>
      </w:r>
    </w:p>
    <w:p w:rsidR="002A2405" w:rsidRDefault="002A2405" w:rsidP="002A2405">
      <w:pPr>
        <w:spacing w:after="0"/>
      </w:pPr>
    </w:p>
    <w:p w:rsidR="002A2405" w:rsidRDefault="002A2405" w:rsidP="002544DA">
      <w:pPr>
        <w:spacing w:after="0"/>
        <w:rPr>
          <w:b/>
        </w:rPr>
      </w:pPr>
      <w:r w:rsidRPr="002A2405">
        <w:rPr>
          <w:b/>
          <w:sz w:val="24"/>
          <w:szCs w:val="24"/>
        </w:rPr>
        <w:t>Third Party Payments</w:t>
      </w:r>
    </w:p>
    <w:p w:rsidR="002A2405" w:rsidRPr="002A2405" w:rsidRDefault="002A2405" w:rsidP="002544DA">
      <w:pPr>
        <w:spacing w:after="0"/>
      </w:pPr>
    </w:p>
    <w:p w:rsidR="007A086C" w:rsidRDefault="007A086C" w:rsidP="002544DA">
      <w:pPr>
        <w:spacing w:after="0"/>
      </w:pPr>
      <w:r>
        <w:t>All third party reimbursements/payments must be documented in the reimbursement request.</w:t>
      </w:r>
    </w:p>
    <w:p w:rsidR="002544DA" w:rsidRDefault="002544DA" w:rsidP="007A086C">
      <w:pPr>
        <w:spacing w:after="0"/>
      </w:pPr>
    </w:p>
    <w:p w:rsidR="00845D55" w:rsidRDefault="00845D55" w:rsidP="007A086C">
      <w:pPr>
        <w:spacing w:after="0"/>
      </w:pPr>
    </w:p>
    <w:p w:rsidR="007A086C" w:rsidRPr="007A086C" w:rsidRDefault="007A086C" w:rsidP="007A08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Record Retention</w:t>
      </w:r>
    </w:p>
    <w:p w:rsidR="007A086C" w:rsidRDefault="007A086C" w:rsidP="007A086C">
      <w:pPr>
        <w:spacing w:after="0"/>
      </w:pPr>
    </w:p>
    <w:p w:rsidR="007A086C" w:rsidRDefault="002A2405" w:rsidP="007A086C">
      <w:pPr>
        <w:spacing w:after="0"/>
      </w:pPr>
      <w:r>
        <w:t>A</w:t>
      </w:r>
      <w:r w:rsidR="007A086C">
        <w:t>ll</w:t>
      </w:r>
      <w:r>
        <w:t xml:space="preserve"> required documentation is to be</w:t>
      </w:r>
      <w:r w:rsidR="007A086C">
        <w:t xml:space="preserve"> stored in the eTravel </w:t>
      </w:r>
      <w:r>
        <w:t>system.  O</w:t>
      </w:r>
      <w:r w:rsidR="007A086C">
        <w:t xml:space="preserve">riginal documentation </w:t>
      </w:r>
      <w:r w:rsidR="002544DA">
        <w:t xml:space="preserve">held by the department </w:t>
      </w:r>
      <w:r w:rsidR="007A086C">
        <w:t>may be destroyed 60 day</w:t>
      </w:r>
      <w:r w:rsidR="002544DA">
        <w:t>s</w:t>
      </w:r>
      <w:r w:rsidR="007A086C">
        <w:t xml:space="preserve"> after verification the payment has been made.</w:t>
      </w:r>
    </w:p>
    <w:p w:rsidR="00845D55" w:rsidRDefault="00845D55" w:rsidP="007A086C">
      <w:pPr>
        <w:spacing w:after="0"/>
      </w:pPr>
    </w:p>
    <w:p w:rsidR="007A086C" w:rsidRDefault="007A086C" w:rsidP="007A086C">
      <w:pPr>
        <w:spacing w:after="0"/>
        <w:rPr>
          <w:color w:val="FF0000"/>
        </w:rPr>
      </w:pPr>
    </w:p>
    <w:p w:rsidR="002544DA" w:rsidRPr="002A2405" w:rsidRDefault="002A2405" w:rsidP="007A086C">
      <w:pPr>
        <w:spacing w:after="0"/>
        <w:rPr>
          <w:b/>
        </w:rPr>
      </w:pPr>
      <w:r w:rsidRPr="002A2405">
        <w:rPr>
          <w:b/>
          <w:color w:val="FF0000"/>
        </w:rPr>
        <w:t>Policy exceptions are to be occasional and non-recurring.  Multiple infractions may prompt loss of partial or full reimbursement.</w:t>
      </w:r>
    </w:p>
    <w:p w:rsidR="002A2405" w:rsidRDefault="002A2405" w:rsidP="007A086C">
      <w:pPr>
        <w:spacing w:after="0"/>
        <w:rPr>
          <w:color w:val="FF0000"/>
        </w:rPr>
      </w:pPr>
    </w:p>
    <w:p w:rsidR="002544DA" w:rsidRPr="007A086C" w:rsidRDefault="002544DA" w:rsidP="007A086C">
      <w:pPr>
        <w:spacing w:after="0"/>
        <w:rPr>
          <w:color w:val="FF0000"/>
        </w:rPr>
      </w:pPr>
      <w:r>
        <w:t xml:space="preserve">The complete Travel Policy is available at:  </w:t>
      </w:r>
      <w:hyperlink r:id="rId6" w:history="1">
        <w:r w:rsidRPr="00334E58">
          <w:rPr>
            <w:rStyle w:val="Hyperlink"/>
          </w:rPr>
          <w:t>http://www.busfin.ohi-state.edu/FileStore/PDFs/211_Travel.pdf</w:t>
        </w:r>
      </w:hyperlink>
    </w:p>
    <w:sectPr w:rsidR="002544DA" w:rsidRPr="007A086C" w:rsidSect="002A2405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48BD"/>
    <w:multiLevelType w:val="hybridMultilevel"/>
    <w:tmpl w:val="6842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74343"/>
    <w:multiLevelType w:val="hybridMultilevel"/>
    <w:tmpl w:val="5078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85981"/>
    <w:multiLevelType w:val="hybridMultilevel"/>
    <w:tmpl w:val="F08E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B55BF"/>
    <w:multiLevelType w:val="hybridMultilevel"/>
    <w:tmpl w:val="6EEC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84"/>
    <w:rsid w:val="000038DB"/>
    <w:rsid w:val="002544DA"/>
    <w:rsid w:val="002A2405"/>
    <w:rsid w:val="002C2F64"/>
    <w:rsid w:val="003470E3"/>
    <w:rsid w:val="00490A6A"/>
    <w:rsid w:val="005F50B8"/>
    <w:rsid w:val="007462D6"/>
    <w:rsid w:val="007A086C"/>
    <w:rsid w:val="00845D55"/>
    <w:rsid w:val="00877633"/>
    <w:rsid w:val="00C817FB"/>
    <w:rsid w:val="00DA0EDB"/>
    <w:rsid w:val="00ED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A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4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A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fin.ohi-state.edu/FileStore/PDFs/211_Trave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Nancy</dc:creator>
  <cp:lastModifiedBy>kalamas.3</cp:lastModifiedBy>
  <cp:revision>2</cp:revision>
  <cp:lastPrinted>2014-06-03T14:03:00Z</cp:lastPrinted>
  <dcterms:created xsi:type="dcterms:W3CDTF">2014-06-20T11:54:00Z</dcterms:created>
  <dcterms:modified xsi:type="dcterms:W3CDTF">2014-06-20T11:54:00Z</dcterms:modified>
</cp:coreProperties>
</file>